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公 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根据蚌埠学院校团委《关于做好2019年度团费收缴工作的通知》文件，食品与生物工程学院各团支部开展团费收缴工作，经过各班团支书的积极配合，团费收缴工作已完成，全院共收到叁仟柒佰伍拾陆元，现予以公示。公示时间为5天（从4月20日至4月24日），公示期间如对公示内容有异议，请将意见反馈至食品与生物工程学院团总支。</w:t>
      </w:r>
    </w:p>
    <w:p>
      <w:pPr>
        <w:jc w:val="righ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 xml:space="preserve">                 </w:t>
      </w:r>
    </w:p>
    <w:p>
      <w:pPr>
        <w:jc w:val="righ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 xml:space="preserve"> 食品与生物工程学院团总支</w:t>
      </w:r>
    </w:p>
    <w:p>
      <w:pPr>
        <w:jc w:val="righ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 xml:space="preserve">                               2020年4月20日</w:t>
      </w:r>
    </w:p>
    <w:p>
      <w:pPr>
        <w:jc w:val="center"/>
        <w:rPr>
          <w:rFonts w:hint="eastAsia" w:ascii="仿宋_GB2312" w:hAnsi="宋体" w:eastAsia="仿宋_GB2312" w:cs="宋体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 w:cs="宋体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 w:cs="宋体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 w:cs="宋体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 w:cs="宋体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 w:cs="宋体"/>
          <w:b/>
          <w:bCs/>
          <w:sz w:val="32"/>
          <w:szCs w:val="32"/>
        </w:rPr>
      </w:pPr>
    </w:p>
    <w:p>
      <w:pPr>
        <w:jc w:val="left"/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附录：</w:t>
      </w:r>
    </w:p>
    <w:p>
      <w:pPr>
        <w:jc w:val="center"/>
        <w:rPr>
          <w:rFonts w:ascii="仿宋_GB2312" w:hAnsi="宋体" w:eastAsia="仿宋_GB2312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sz w:val="32"/>
          <w:szCs w:val="32"/>
        </w:rPr>
        <w:t>201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年度团费收缴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登记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表</w:t>
      </w:r>
    </w:p>
    <w:p>
      <w:pPr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学院名称（盖章）：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蚌埠学院食品与生物工程学院</w:t>
      </w: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892"/>
        <w:gridCol w:w="1644"/>
        <w:gridCol w:w="1536"/>
        <w:gridCol w:w="1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92" w:type="dxa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班级名称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班级</w:t>
            </w: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团员人数</w:t>
            </w:r>
          </w:p>
        </w:tc>
        <w:tc>
          <w:tcPr>
            <w:tcW w:w="1524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缴费金额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16食工对口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144.0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生物工程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二班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38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37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16食工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43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38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16食</w:t>
            </w:r>
            <w:r>
              <w:rPr>
                <w:rStyle w:val="13"/>
                <w:rFonts w:hAnsi="宋体"/>
                <w:lang w:val="en-US" w:eastAsia="zh-CN"/>
              </w:rPr>
              <w:t>安合作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16生物工程1班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41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16食安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59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16食营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29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16制药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工程一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班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56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43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16制药工程二班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58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53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17食安合作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17食营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44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42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17生物工程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17食工对口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55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50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17制药工程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17食安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50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48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17食工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52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52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17生物制药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49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49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18生物制药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56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134.4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18生物工程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50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18食营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53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52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18食工升本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59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49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18食安合作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26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18食品安全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49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46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18制药工程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56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56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134.4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18食工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18食工对口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58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53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19生物工程二班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55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46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19食工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53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52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19食工对口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60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44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19制药工程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56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49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19食工升本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19食营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54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54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19生物制药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52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49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19生物工程一班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52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48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89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19食安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55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50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6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instrText xml:space="preserve"> = sum(C1:C36) \* MERGEFORMAT </w:instrTex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1733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instrText xml:space="preserve"> = sum(D1:D36) \* MERGEFORMAT </w:instrTex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156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3756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91379"/>
    <w:rsid w:val="06D40F69"/>
    <w:rsid w:val="09662879"/>
    <w:rsid w:val="0FE767A5"/>
    <w:rsid w:val="16363D3B"/>
    <w:rsid w:val="39950791"/>
    <w:rsid w:val="566A26A2"/>
    <w:rsid w:val="6172717F"/>
    <w:rsid w:val="6CF1111F"/>
    <w:rsid w:val="7312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Medium Grid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3">
    <w:name w:val="font01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633</Characters>
  <Paragraphs>224</Paragraphs>
  <TotalTime>4</TotalTime>
  <ScaleCrop>false</ScaleCrop>
  <LinksUpToDate>false</LinksUpToDate>
  <CharactersWithSpaces>633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2020-04-06T06:19:00Z</dcterms:created>
  <dc:creator>Administrator</dc:creator>
  <cp:lastModifiedBy>长安</cp:lastModifiedBy>
  <dcterms:modified xsi:type="dcterms:W3CDTF">2020-04-20T08:20:29Z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