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both"/>
        <w:rPr>
          <w:rFonts w:hint="eastAsia" w:ascii="黑体" w:hAns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</w:rPr>
        <w:t>院级组织工作人员述职评议办法</w:t>
      </w:r>
    </w:p>
    <w:bookmarkEnd w:id="0"/>
    <w:p>
      <w:pPr>
        <w:numPr>
          <w:numId w:val="0"/>
        </w:numPr>
        <w:spacing w:line="540" w:lineRule="exact"/>
        <w:jc w:val="center"/>
        <w:rPr>
          <w:szCs w:val="24"/>
        </w:rPr>
      </w:pPr>
      <w:r>
        <w:rPr>
          <w:rFonts w:hint="eastAsia" w:ascii="方正黑体简体" w:eastAsia="方正黑体简体" w:cs="Times New Roman"/>
          <w:sz w:val="32"/>
          <w:szCs w:val="32"/>
          <w:lang w:eastAsia="zh-CN"/>
        </w:rPr>
        <w:t>食品与生物工程</w:t>
      </w:r>
      <w:r>
        <w:rPr>
          <w:rFonts w:hint="eastAsia" w:ascii="方正黑体简体" w:eastAsia="方正黑体简体" w:cs="Times New Roman"/>
          <w:sz w:val="32"/>
          <w:szCs w:val="32"/>
        </w:rPr>
        <w:t>学院学生会工作人员述职评议制度</w:t>
      </w:r>
    </w:p>
    <w:p>
      <w:pPr>
        <w:spacing w:line="540" w:lineRule="exact"/>
        <w:jc w:val="center"/>
        <w:rPr>
          <w:rFonts w:ascii="黑体" w:eastAsia="黑体" w:hAnsiTheme="minorEastAsia" w:cstheme="minorEastAsia"/>
          <w:b/>
          <w:bCs/>
          <w:sz w:val="32"/>
          <w:szCs w:val="32"/>
        </w:rPr>
      </w:pPr>
      <w:r>
        <w:rPr>
          <w:rFonts w:hint="eastAsia" w:ascii="黑体" w:eastAsia="黑体" w:hAnsiTheme="minorEastAsia" w:cstheme="minorEastAsia"/>
          <w:b/>
          <w:bCs/>
          <w:sz w:val="32"/>
          <w:szCs w:val="32"/>
        </w:rPr>
        <w:t>第一章  总则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为了做好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食品与生物工程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学生会述职评议工作，促进校院学生会沟通联络，加强过程管理与指导，按照共青团中央、教育部、全国学联有关文件精神，结合学校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，现制定本办法。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述职评议对象。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食品与生物工程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学院学生会主席团及其工作部门负责人。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述职评议内容。分为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日常考评和集中考评，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其中日常考评分为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组织建设、活动开展、工作落实和宣传联络四个部分，集中考评分为查看总结材料、现场述职汇报两个部分。</w:t>
      </w:r>
    </w:p>
    <w:p>
      <w:pPr>
        <w:spacing w:line="540" w:lineRule="exact"/>
        <w:ind w:firstLine="643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述职评议时间。一般在任期届满前后半个月进行。</w:t>
      </w:r>
    </w:p>
    <w:p>
      <w:pPr>
        <w:spacing w:line="540" w:lineRule="exact"/>
        <w:jc w:val="center"/>
        <w:rPr>
          <w:rFonts w:ascii="黑体" w:eastAsia="黑体" w:hAnsiTheme="minorEastAsia" w:cstheme="minorEastAsia"/>
          <w:b/>
          <w:bCs/>
          <w:sz w:val="32"/>
          <w:szCs w:val="32"/>
        </w:rPr>
      </w:pPr>
      <w:r>
        <w:rPr>
          <w:rFonts w:hint="eastAsia" w:ascii="黑体" w:eastAsia="黑体" w:hAnsiTheme="minorEastAsia" w:cstheme="minorEastAsia"/>
          <w:b/>
          <w:bCs/>
          <w:sz w:val="32"/>
          <w:szCs w:val="32"/>
        </w:rPr>
        <w:t>第二章  日常考评</w:t>
      </w:r>
    </w:p>
    <w:p>
      <w:pPr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日常考评由组织建设、活动开展、工作落实和宣传联络四个部分组成。日常考评总分100分，占述职评议结果的50%。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组织建设方面：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（一）学院重视，组织健全，内部机构建设和管理制度规范。（10分）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1.学院领导组织每学年参加学生会工作不少于2次；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2.按要求召开学生代表大会进行学生会换届；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3.定期召开学生会主席团工作会、部门工作会、全体工作人员工作会；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4.组织机构设置规范、管理制度健全，部门职能分工明确。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（二）学期工作有计划，学年工作有总结。（5分）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学生会工作计划、总结、重大事项等以规范方式呈现并存有档案。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（三）学生会工作人员管理培养规范，综合素质高。（10分）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1.学生会工作人员任免文件规范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2.学生会工作人员选拔任用、教育培训、管理考核规范，有明确的选拔任用目标，统一教育培训，定期开展管理考核；</w:t>
      </w:r>
    </w:p>
    <w:p>
      <w:pPr>
        <w:topLinePunct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3.学生会工作人员</w:t>
      </w:r>
      <w:r>
        <w:rPr>
          <w:rFonts w:hint="eastAsia" w:ascii="仿宋_GB2312" w:hAnsi="Times New Roman" w:eastAsia="仿宋_GB2312"/>
          <w:sz w:val="32"/>
          <w:szCs w:val="32"/>
        </w:rPr>
        <w:t>学年综合测评排名在前30%以内，无课业不及格情况。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活动开展方面：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审批规范，数量适中，组织安全有序，无安全事故。（5分）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（二）专业针对性强，学院特色明显。（5分）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活动联系学院特点，自主组织的与专业相关的活动应不低于活动总数的50%。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（三）活动评建规范，受众满意度高。（15分）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以学院自主申报为原则，各部门申报两项以学生会为主体举办的品牌活动，主席团通过对活动策划、工作方案、宣传材料、活动总结等进行评审打分。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工作落实方面：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（一）各部门规范参加校学生会工作例会。（5分）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（二）全校性活动能够及时响应，协作配合密切。（5分）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（三）学校重要工作能够及时部署落实，反馈落实情况。（5分）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（四）深入广大同学，主动了解同学心声，定期开展学生思想情况调研，并尽力做好服务及协调工作。（10分）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宣传联络方面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（一）按照规定按时规范报备学生会新媒体运营情况。（5分）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（二）加强宣传队伍建设，日常宣传更新及时、规范，重要活动按要求报送校学生会。（10分）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（三）学校重要工作和活动，宣传线上线下联动。（5分）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（四）宣传客观，无虚假宣传，无不良影响。（5分）</w:t>
      </w:r>
    </w:p>
    <w:p>
      <w:pPr>
        <w:spacing w:line="540" w:lineRule="exact"/>
        <w:jc w:val="center"/>
        <w:rPr>
          <w:sz w:val="32"/>
          <w:szCs w:val="32"/>
        </w:rPr>
      </w:pPr>
      <w:r>
        <w:rPr>
          <w:rFonts w:hint="eastAsia" w:ascii="黑体" w:eastAsia="黑体" w:hAnsiTheme="minorEastAsia" w:cstheme="minorEastAsia"/>
          <w:b/>
          <w:bCs/>
          <w:sz w:val="32"/>
          <w:szCs w:val="32"/>
        </w:rPr>
        <w:t>第三章  集中考评</w:t>
      </w:r>
    </w:p>
    <w:p>
      <w:pPr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集中考评通过查看总结材料及听取现场述职汇报方式完成。集中考评总分100分，占述职评议结果的50%。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（一）总结材料。全面规范，支撑有力，能够很好的支撑学校本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年度重点推进的工作项目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简单明了、特色鲜明、成效突出、图文并茂。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（20分）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（二）述职汇报。内容准确充实，汇报流畅。密切结合学生会功能定位，突出重点、成效显著，不宽泛、不浮夸。（80分）</w:t>
      </w:r>
    </w:p>
    <w:p>
      <w:pPr>
        <w:spacing w:line="540" w:lineRule="exact"/>
        <w:jc w:val="center"/>
        <w:rPr>
          <w:sz w:val="32"/>
          <w:szCs w:val="32"/>
        </w:rPr>
      </w:pPr>
      <w:r>
        <w:rPr>
          <w:rFonts w:hint="eastAsia" w:ascii="黑体" w:eastAsia="黑体" w:hAnsiTheme="minorEastAsia" w:cstheme="minorEastAsia"/>
          <w:b/>
          <w:bCs/>
          <w:sz w:val="32"/>
          <w:szCs w:val="32"/>
        </w:rPr>
        <w:t>第四章  附则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本方案由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食品与生物工程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学院学生会负责解释。</w:t>
      </w:r>
    </w:p>
    <w:p>
      <w:pPr>
        <w:spacing w:line="54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本方案自发布之日起施行。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5E276"/>
    <w:multiLevelType w:val="singleLevel"/>
    <w:tmpl w:val="C455E27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36005"/>
    <w:rsid w:val="53C3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2021-11-19T02:44:00Z</dcterms:created>
  <dc:creator>Administrator</dc:creator>
  <cp:lastModifiedBy>Administrator</cp:lastModifiedBy>
  <dcterms:modified xsi:type="dcterms:W3CDTF">2021-11-19T02:44:52Z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0D4D43EC2D0845E090F449527DA2E5AF</vt:lpwstr>
  </property>
</Properties>
</file>